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the eligible individual has served a waiting period of one week of total or partial unemployment. A week may not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that includes the week with respect to which the individual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§89 (COR).]</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§89 (COR).]</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may not be denied or reduced to an individual solely because the individual files a claim in another state, or a contiguous country with which the United States has an agreement with respect to unemployment compensation, or because the individual resides in another state or contiguous country at the time the individual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§90 (COR).]</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may not be denied to an individual solely because the individual is selected to serve as a juror. An individual who receives actual earnings for jury service must be paid a partial benefit in an amount equal to the individual's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§91 (COR).]</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subsections 2, 3, 12 and 13, "good cause" means the unemployed individual is ill; the presence of the unemployed individual is required due to an illness of the unemployed individual's spouse, children, parents, stepparents, siblings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subsections 12 and 13.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[RR 2023, c. 2, Pt. E,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RR 2023, c. 2, Pt. E, §§89-92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§1192. Eligibility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Eligibility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§1192. ELIGIBILITY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