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Proposals and bids recorded</w:t>
      </w:r>
    </w:p>
    <w:p>
      <w:pPr>
        <w:jc w:val="both"/>
        <w:spacing w:before="100" w:after="100"/>
        <w:ind w:start="360"/>
        <w:ind w:firstLine="360"/>
      </w:pPr>
      <w:r>
        <w:rPr/>
      </w:r>
      <w:r>
        <w:rPr/>
      </w:r>
      <w:r>
        <w:t xml:space="preserve">Every municipality calling for such bids shall enter proposals and bids upon its books, showing the name and residence of each bidder, and the amount and terms of each bid, and to whom the work or contract was awarded. The same shall be open to the inspection of the Governor.</w:t>
      </w:r>
      <w:r>
        <w:t xml:space="preserve">  </w:t>
      </w:r>
      <w:r xmlns:wp="http://schemas.openxmlformats.org/drawingml/2010/wordprocessingDrawing" xmlns:w15="http://schemas.microsoft.com/office/word/2012/wordml">
        <w:rPr>
          <w:rFonts w:ascii="Arial" w:hAnsi="Arial" w:cs="Arial"/>
          <w:sz w:val="22"/>
          <w:szCs w:val="22"/>
        </w:rPr>
        <w:t xml:space="preserve">[PL 1975, c. 771, §287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Proposals and bids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Proposals and bids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§1302. PROPOSALS AND BIDS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