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1420-B</w:t>
        <w:t xml:space="preserve">.  </w:t>
      </w:r>
      <w:r>
        <w:rPr>
          <w:b/>
        </w:rPr>
        <w:t xml:space="preserve">Motor vehicle drivers</w:t>
      </w:r>
    </w:p>
    <w:p>
      <w:pPr>
        <w:jc w:val="both"/>
        <w:spacing w:before="100" w:after="100"/>
        <w:ind w:start="360"/>
        <w:ind w:firstLine="360"/>
      </w:pPr>
      <w:r>
        <w:rPr/>
      </w:r>
      <w:r>
        <w:rPr/>
      </w:r>
      <w:r>
        <w:t xml:space="preserve">The driver of a vehicle approaching a deaf or hard-of-hearing person using a properly identified guide dog shall take all necessary precautions to avoid injury to that person and the guide dog.  A driver who fails to take such precautions is liable in damages for any injury caused to that person or dog.  A deaf or hard-of-hearing person not using a guide dog in any of the places, accommodations or conveyances listed in </w:t>
      </w:r>
      <w:r>
        <w:t>section 1420‑A</w:t>
      </w:r>
      <w:r>
        <w:t xml:space="preserve"> has all of the rights and privileges conferred by law upon other persons.  The failure of a deaf or hard-of-hearing person to use a guide dog in those places, accommodations or conveyances does not constitute nor is it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§1420-B.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§1420-B.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§1420-B.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