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Scope</w:t>
      </w:r>
    </w:p>
    <w:p>
      <w:pPr>
        <w:jc w:val="both"/>
        <w:spacing w:before="100" w:after="100"/>
        <w:ind w:start="360"/>
        <w:ind w:firstLine="360"/>
      </w:pPr>
      <w:r>
        <w:rPr/>
      </w:r>
      <w:r>
        <w:rPr/>
      </w:r>
      <w:r>
        <w:t xml:space="preserve">This chapter establishes the Job Training Program for Activities Coordinators, referred to in this chapter as the "program," to provide assistance to the State's long-term care facilities, as defined in </w:t>
      </w:r>
      <w:r>
        <w:t>Title 22, chapter 1666‑B</w:t>
      </w:r>
      <w:r>
        <w:t xml:space="preserve">, facing serious shortages of adequately trained personnel for certain positions.</w:t>
      </w:r>
      <w:r>
        <w:t xml:space="preserve">  </w:t>
      </w:r>
      <w:r xmlns:wp="http://schemas.openxmlformats.org/drawingml/2010/wordprocessingDrawing" xmlns:w15="http://schemas.microsoft.com/office/word/2012/wordml">
        <w:rPr>
          <w:rFonts w:ascii="Arial" w:hAnsi="Arial" w:cs="Arial"/>
          <w:sz w:val="22"/>
          <w:szCs w:val="22"/>
        </w:rPr>
        <w:t xml:space="preserve">[PL 1993, c. 306,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§2161.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