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Labor education</w:t>
      </w:r>
    </w:p>
    <w:p>
      <w:pPr>
        <w:jc w:val="both"/>
        <w:spacing w:before="100" w:after="100"/>
        <w:ind w:start="360"/>
        <w:ind w:firstLine="360"/>
      </w:pPr>
      <w:r>
        <w:rPr/>
      </w:r>
      <w:r>
        <w:rPr/>
      </w:r>
      <w:r>
        <w:t xml:space="preserve">Each person enrolled in a program under the Maine  Workforce Investment System must be provided an informational pamphlet on labor law that explains the person's rights and responsibilities and lists the appropriate agency to contact for additional information.  The informational pamphlet must be developed and disseminated to all Maine Workforce Investment System service providers.</w:t>
      </w:r>
      <w:r>
        <w:t xml:space="preserve">  </w:t>
      </w:r>
      <w:r xmlns:wp="http://schemas.openxmlformats.org/drawingml/2010/wordprocessingDrawing" xmlns:w15="http://schemas.microsoft.com/office/word/2012/wordml">
        <w:rPr>
          <w:rFonts w:ascii="Arial" w:hAnsi="Arial" w:cs="Arial"/>
          <w:sz w:val="22"/>
          <w:szCs w:val="22"/>
        </w:rPr>
        <w:t xml:space="preserve">[PL 2003, c. 114, §24 (AMD).]</w:t>
      </w:r>
    </w:p>
    <w:p>
      <w:pPr>
        <w:jc w:val="both"/>
        <w:spacing w:before="100" w:after="100"/>
        <w:ind w:start="360"/>
        <w:ind w:firstLine="360"/>
      </w:pPr>
      <w:r>
        <w:rPr>
          <w:b/>
        </w:rPr>
        <w:t>1</w:t>
        <w:t xml:space="preserve">.  </w:t>
      </w:r>
      <w:r>
        <w:rPr>
          <w:b/>
        </w:rPr>
        <w:t xml:space="preserve">Content of pamphlet.</w:t>
        <w:t xml:space="preserve"> </w:t>
      </w:r>
      <w:r>
        <w:t xml:space="preserve"> </w:t>
      </w:r>
      <w:r>
        <w:t xml:space="preserve">The pamphlet shall cover such laws as:</w:t>
      </w:r>
    </w:p>
    <w:p>
      <w:pPr>
        <w:jc w:val="both"/>
        <w:spacing w:before="100" w:after="0"/>
        <w:ind w:start="720"/>
      </w:pPr>
      <w:r>
        <w:rPr/>
        <w:t>A</w:t>
        <w:t xml:space="preserve">.  </w:t>
      </w:r>
      <w:r>
        <w:rPr/>
      </w:r>
      <w:r>
        <w:t xml:space="preserve">The National Labor Relations Act, Public Law 1935, No. 198, 49 Stat 449;</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Occupational Safety and Health Act of 1970, Public Law 91-596;</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The Fair Labor Standards Act, Public Law 1938, No. 718, 52 Stat 1060;</w:t>
      </w:r>
      <w:r>
        <w:t xml:space="preserve">  </w:t>
      </w:r>
      <w:r xmlns:wp="http://schemas.openxmlformats.org/drawingml/2010/wordprocessingDrawing" xmlns:w15="http://schemas.microsoft.com/office/word/2012/wordml">
        <w:rPr>
          <w:rFonts w:ascii="Arial" w:hAnsi="Arial" w:cs="Arial"/>
          <w:sz w:val="22"/>
          <w:szCs w:val="22"/>
        </w:rPr>
        <w:t xml:space="preserve">[RR 2017, c. 2, §10 (COR).]</w:t>
      </w:r>
    </w:p>
    <w:p>
      <w:pPr>
        <w:jc w:val="both"/>
        <w:spacing w:before="100" w:after="0"/>
        <w:ind w:start="720"/>
      </w:pPr>
      <w:r>
        <w:rPr/>
        <w:t>D</w:t>
        <w:t xml:space="preserve">.  </w:t>
      </w:r>
      <w:r>
        <w:rPr/>
      </w:r>
      <w:r>
        <w:t xml:space="preserve">The Workers' Compensation Act;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Unemployment insurance laws; and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F</w:t>
        <w:t xml:space="preserve">.  </w:t>
      </w:r>
      <w:r>
        <w:rPr/>
      </w:r>
      <w:r>
        <w:t xml:space="preserve">State and federal laws relating to employment discrimination, including sexual harassment.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§10 (COR).]</w:t>
      </w:r>
    </w:p>
    <w:p>
      <w:pPr>
        <w:jc w:val="both"/>
        <w:spacing w:before="100" w:after="0"/>
        <w:ind w:start="360"/>
        <w:ind w:firstLine="360"/>
      </w:pPr>
      <w:r>
        <w:rPr>
          <w:b/>
        </w:rPr>
        <w:t>2</w:t>
        <w:t xml:space="preserve">.  </w:t>
      </w:r>
      <w:r>
        <w:rPr>
          <w:b/>
        </w:rPr>
        <w:t xml:space="preserve">Review with providers.</w:t>
        <w:t xml:space="preserve"> </w:t>
      </w:r>
      <w:r>
        <w:t xml:space="preserve"> </w:t>
      </w:r>
      <w:r>
        <w:t xml:space="preserve">To enhance the trainees' knowledge of labor law, the Maine Workforce Investment System service providers shall, when offering prevocational services to program participants, review the content of the informational pamphlet with the program participants, unless the participants have already received this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§25 (AMD).]</w:t>
      </w:r>
    </w:p>
    <w:p>
      <w:pPr>
        <w:jc w:val="both"/>
        <w:spacing w:before="100" w:after="0"/>
        <w:ind w:start="360"/>
        <w:ind w:firstLine="360"/>
      </w:pPr>
      <w:r>
        <w:rPr>
          <w:b/>
        </w:rPr>
        <w:t>3</w:t>
        <w:t xml:space="preserve">.  </w:t>
      </w:r>
      <w:r>
        <w:rPr>
          <w:b/>
        </w:rPr>
        <w:t xml:space="preserve">Staff training.</w:t>
        <w:t xml:space="preserve"> </w:t>
      </w:r>
      <w:r>
        <w:t xml:space="preserve"> </w:t>
      </w:r>
      <w:r>
        <w:t xml:space="preserve">The direct service staff of the Maine Workforce Investment System service providers must receive training to expand their knowledge of the labor laws contained in the informational pamphlet.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2003, c. 114, §§24,25 (AMD). RR 2017, c. 2,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§2173. Labor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Labor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§2173. LABOR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