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Prohibition; penalty</w:t>
      </w:r>
    </w:p>
    <w:p>
      <w:pPr>
        <w:jc w:val="both"/>
        <w:spacing w:before="100" w:after="100"/>
        <w:ind w:start="360"/>
        <w:ind w:firstLine="360"/>
      </w:pPr>
      <w:r>
        <w:rPr/>
      </w:r>
      <w:r>
        <w:rPr/>
      </w:r>
      <w:r>
        <w:t xml:space="preserve">A person who violates any rule that is adopted by the commissioner under this subchapter shall be subject to a civil forfeiture not to exceed $1,000 for each violation.  Each day of violation shall constitute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Prohibition;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Prohibition;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§354. PROHIBITION;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