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42-C</w:t>
        <w:t xml:space="preserve">.  </w:t>
      </w:r>
      <w:r>
        <w:rPr>
          <w:b/>
        </w:rPr>
        <w:t xml:space="preserve">Notification regarding earned income tax credit eligibility</w:t>
      </w:r>
    </w:p>
    <w:p>
      <w:pPr>
        <w:jc w:val="both"/>
        <w:spacing w:before="100" w:after="0"/>
        <w:ind w:start="360"/>
        <w:ind w:firstLine="360"/>
      </w:pPr>
      <w:r>
        <w:rPr>
          <w:b/>
        </w:rPr>
        <w:t>1</w:t>
        <w:t xml:space="preserve">.  </w:t>
      </w:r>
      <w:r>
        <w:rPr>
          <w:b/>
        </w:rPr>
        <w:t xml:space="preserve">Bureau to provide poster or notice.</w:t>
        <w:t xml:space="preserve"> </w:t>
      </w:r>
      <w:r>
        <w:t xml:space="preserve"> </w:t>
      </w:r>
      <w:r>
        <w:t xml:space="preserve">The bureau shall produce and furnish to employers posters or notices in printed form that state that an employee may be eligible for federal and state earned income tax credits and that the employee may apply for the tax credits on the employee's income tax returns.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527, Pt. B, §1 (NEW).]</w:t>
      </w:r>
    </w:p>
    <w:p>
      <w:pPr>
        <w:jc w:val="both"/>
        <w:spacing w:before="100" w:after="0"/>
        <w:ind w:start="360"/>
        <w:ind w:firstLine="360"/>
      </w:pPr>
      <w:r>
        <w:rPr>
          <w:b/>
        </w:rPr>
        <w:t>2</w:t>
        <w:t xml:space="preserve">.  </w:t>
      </w:r>
      <w:r>
        <w:rPr>
          <w:b/>
        </w:rPr>
        <w:t xml:space="preserve">Employer to post notice.</w:t>
        <w:t xml:space="preserve"> </w:t>
      </w:r>
      <w:r>
        <w:t xml:space="preserve"> </w:t>
      </w:r>
      <w:r>
        <w:t xml:space="preserve">An employer shall post and keep posted in a place accessible to the employer's employees a copy of the printed poster or notice furnished by the bureau pursuant to </w:t>
      </w:r>
      <w:r>
        <w:t>subsection 1</w:t>
      </w:r>
      <w:r>
        <w:t xml:space="preserve">.  An employer who violates this subsection is subject to the same penalties as set forth in </w:t>
      </w:r>
      <w:r>
        <w:t>section 42‑B,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527,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527,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§42-C. Notification regarding earned income tax credit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§42-C. Notification regarding earned income tax credit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§42-C. NOTIFICATION REGARDING EARNED INCOME TAX CREDIT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