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§601. REST BREAKS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