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Family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§636. FAMILY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