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850-R</w:t>
        <w:t xml:space="preserve">.  </w:t>
      </w:r>
      <w:r>
        <w:rPr>
          <w:b/>
        </w:rPr>
        <w:t xml:space="preserve">Effect of existing employer benefits for family and medical leave</w:t>
      </w:r>
    </w:p>
    <w:p>
      <w:pPr>
        <w:jc w:val="both"/>
        <w:spacing w:before="100" w:after="100"/>
        <w:ind w:start="360"/>
        <w:ind w:firstLine="360"/>
      </w:pPr>
      <w:r>
        <w:rPr/>
      </w:r>
      <w:r>
        <w:rPr/>
      </w:r>
      <w:r>
        <w:t xml:space="preserve">This subchapter may not be construed to prohibit an employee entitled to receive benefits for family leave or medical leave under a collective bargaining agreement or employer policy from also receiving benefits under this subchapter as long as the employee is otherwise eligible for benefits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§850-R. Effect of existing employer benefits for family and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§850-R. Effect of existing employer benefits for family and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§850-R. EFFECT OF EXISTING EMPLOYER BENEFITS FOR FAMILY AND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