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931-A</w:t>
        <w:t xml:space="preserve">.  </w:t>
      </w:r>
      <w:r>
        <w:rPr>
          <w:b/>
        </w:rPr>
        <w:t xml:space="preserve">Use of board member representing the public interests instead of full board</w:t>
      </w:r>
    </w:p>
    <w:p>
      <w:pPr>
        <w:jc w:val="both"/>
        <w:spacing w:before="100" w:after="100"/>
        <w:ind w:start="360"/>
        <w:ind w:firstLine="360"/>
      </w:pPr>
      <w:r>
        <w:rPr/>
      </w:r>
      <w:r>
        <w:rPr/>
      </w:r>
      <w:r>
        <w:t xml:space="preserve">The parties may agree to have any controversy that could be handled by the board under this subchapter directed to the board member selected to represent the public interests of the State or to one of the alternates from the same category.  If the parties elect to use that board member, the parties must agree on the board member or alternate by name.  A board member selected under this section may administer oaths and require by subpoena the attendance and testimony of witnesses, the production of books, records and other evidence relative or pertinent to the matter before the board member and has the same power to act on any issue and in any manner as the full board has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§931-A. Use of board member representing the public interests instead of full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§931-A. Use of board member representing the public interests instead of full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§931-A. USE OF BOARD MEMBER REPRESENTING THE PUBLIC INTERESTS INSTEAD OF FULL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