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113</w:t>
        <w:t xml:space="preserve">.  </w:t>
      </w:r>
      <w:r>
        <w:rPr>
          <w:b/>
        </w:rPr>
        <w:t xml:space="preserve">Library regions</w:t>
      </w:r>
    </w:p>
    <w:p>
      <w:pPr>
        <w:jc w:val="both"/>
        <w:spacing w:before="100" w:after="100"/>
        <w:ind w:start="360"/>
        <w:ind w:firstLine="360"/>
      </w:pPr>
      <w:r>
        <w:rPr/>
      </w:r>
      <w:r>
        <w:rPr/>
      </w:r>
      <w:r>
        <w:t xml:space="preserve">The Maine Library Commission shall divide the State into as many regions as the commission determines are required and shall establish or modify the geographical boundaries of each region.</w:t>
      </w:r>
      <w:r>
        <w:t xml:space="preserve">  </w:t>
      </w:r>
      <w:r xmlns:wp="http://schemas.openxmlformats.org/drawingml/2010/wordprocessingDrawing" xmlns:w15="http://schemas.microsoft.com/office/word/2012/wordml">
        <w:rPr>
          <w:rFonts w:ascii="Arial" w:hAnsi="Arial" w:cs="Arial"/>
          <w:sz w:val="22"/>
          <w:szCs w:val="22"/>
        </w:rPr>
        <w:t xml:space="preserve">[PL 2019, c. 150,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626, §6 (NEW). PL 1989, c. 700, §B29 (RPR). PL 2019, c. 150,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§113. Library regions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§113. Library regions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§113. LIBRARY REGIONS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