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 Compact administrator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Compact administrator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§150. COMPACT ADMINISTRATOR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