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401</w:t>
        <w:t xml:space="preserve">.  </w:t>
      </w:r>
      <w:r>
        <w:rPr>
          <w:b/>
        </w:rPr>
        <w:t xml:space="preserve">Commission</w:t>
      </w:r>
    </w:p>
    <w:p>
      <w:pPr>
        <w:jc w:val="both"/>
        <w:spacing w:before="100" w:after="100"/>
        <w:ind w:start="360"/>
        <w:ind w:firstLine="360"/>
      </w:pPr>
      <w:r>
        <w:rPr/>
      </w:r>
      <w:r>
        <w:rPr/>
      </w:r>
      <w:r>
        <w:t xml:space="preserve">A state commission, to be known as the "Maine Arts Commission," as established by </w:t>
      </w:r>
      <w:r>
        <w:t>Title 5, section 12004‑G, subsection 7‑B</w:t>
      </w:r>
      <w:r>
        <w:t xml:space="preserve">, must consist of not more than 15 members, each of whom must have a continuing interest in the fields of art and culture in the State, to be appointed by the Governor from among citizens of Maine. In making such appointments, due consideration must be given to the recommendations made by representative civic, educational and professional associations and groups concerned with or engaged in artistic and cultural fields generally.</w:t>
      </w:r>
      <w:r>
        <w:t xml:space="preserve">  </w:t>
      </w:r>
      <w:r xmlns:wp="http://schemas.openxmlformats.org/drawingml/2010/wordprocessingDrawing" xmlns:w15="http://schemas.microsoft.com/office/word/2012/wordml">
        <w:rPr>
          <w:rFonts w:ascii="Arial" w:hAnsi="Arial" w:cs="Arial"/>
          <w:sz w:val="22"/>
          <w:szCs w:val="22"/>
        </w:rPr>
        <w:t xml:space="preserve">[PL 2017, c. 180,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499, §1 (NEW). PL 1983, c. 812, §169 (AMD). PL 1985, c. 763, §A81 (AMD). PL 1989, c. 503, §B115 (AMD). RR 2011, c. 2, §34 (COR). PL 2017, c. 180,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§401.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§401.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§401.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