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Duties</w:t>
      </w:r>
    </w:p>
    <w:p>
      <w:pPr>
        <w:jc w:val="both"/>
        <w:spacing w:before="100" w:after="100"/>
        <w:ind w:start="360"/>
        <w:ind w:firstLine="360"/>
      </w:pPr>
      <w:r>
        <w:rPr/>
      </w:r>
      <w:r>
        <w:rPr/>
      </w:r>
      <w:r>
        <w:t xml:space="preserve">The commission shall set policy with regard to:</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w:pPr>
        <w:jc w:val="both"/>
        <w:spacing w:before="100" w:after="0"/>
        <w:ind w:start="360"/>
        <w:ind w:firstLine="360"/>
      </w:pPr>
      <w:r>
        <w:rPr>
          <w:b/>
        </w:rPr>
        <w:t>1</w:t>
        <w:t xml:space="preserve">.  </w:t>
      </w:r>
      <w:r>
        <w:rPr>
          <w:b/>
        </w:rPr>
        <w:t xml:space="preserve">Administration.</w:t>
        <w:t xml:space="preserve"> </w:t>
      </w:r>
      <w:r>
        <w:t xml:space="preserve"> </w:t>
      </w:r>
      <w:r>
        <w:t xml:space="preserve">The steps which are necessary and relevant to encourage and stimulate public interest and participation in the historic, architectural and archaeological heritage of our State, and to advise the State Historic Preservation Officer with regard to liaison between the State and Federal Governments and public or private agencies or organizations interested in and participating in the field of historic preservation;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(RPR).]</w:t>
      </w:r>
    </w:p>
    <w:p>
      <w:pPr>
        <w:jc w:val="both"/>
        <w:spacing w:before="100" w:after="0"/>
        <w:ind w:start="360"/>
        <w:ind w:firstLine="360"/>
      </w:pPr>
      <w:r>
        <w:rPr>
          <w:b/>
        </w:rPr>
        <w:t>2</w:t>
        <w:t xml:space="preserve">.  </w:t>
      </w:r>
      <w:r>
        <w:rPr>
          <w:b/>
        </w:rPr>
        <w:t xml:space="preserve">Programs.</w:t>
        <w:t xml:space="preserve"> </w:t>
      </w:r>
      <w:r>
        <w:t xml:space="preserve"> </w:t>
      </w:r>
      <w:r>
        <w:t xml:space="preserve">The steps which are necessary to administer the program of the National Historic Preservation Act of 1966, and other private and governmental programs within the purposes of this chapter except in those areas specifically assigned by federal law to the State Historic Preservation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(RPR).]</w:t>
      </w:r>
    </w:p>
    <w:p>
      <w:pPr>
        <w:jc w:val="both"/>
        <w:spacing w:before="100" w:after="0"/>
        <w:ind w:start="360"/>
        <w:ind w:firstLine="360"/>
      </w:pPr>
      <w:r>
        <w:rPr>
          <w:b/>
        </w:rPr>
        <w:t>2-A</w:t>
        <w:t xml:space="preserve">.  </w:t>
      </w:r>
      <w:r>
        <w:rPr>
          <w:b/>
        </w:rPr>
        <w:t xml:space="preserve">Rules.</w:t>
        <w:t xml:space="preserve"> </w:t>
      </w:r>
      <w:r>
        <w:t xml:space="preserve"> </w:t>
      </w:r>
      <w:r>
        <w:t xml:space="preserve">The Maine Historic Preservation Commission may adopt rules pursuant to the Maine Administrative Procedure Act, </w:t>
      </w:r>
      <w:r>
        <w:t>Title 5, chapter 375</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647, §1 (NEW).]</w:t>
      </w:r>
    </w:p>
    <w:p>
      <w:pPr>
        <w:jc w:val="both"/>
        <w:spacing w:before="100" w:after="0"/>
        <w:ind w:start="360"/>
        <w:ind w:firstLine="360"/>
      </w:pPr>
      <w:r>
        <w:rPr>
          <w:b/>
        </w:rPr>
        <w:t>3</w:t>
        <w:t xml:space="preserve">.  </w:t>
      </w:r>
      <w:r>
        <w:rPr>
          <w:b/>
        </w:rPr>
        <w:t xml:space="preserve">Register of historic places.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4</w:t>
        <w:t xml:space="preserve">.  </w:t>
      </w:r>
      <w:r>
        <w:rPr>
          <w:b/>
        </w:rPr>
        <w:t xml:space="preserve">Acceptance of gifts and bequests.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5</w:t>
        <w:t xml:space="preserve">.  </w:t>
      </w:r>
      <w:r>
        <w:rPr>
          <w:b/>
        </w:rPr>
        <w:t xml:space="preserve">Biennial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w:pPr>
        <w:jc w:val="both"/>
        <w:spacing w:before="100" w:after="0"/>
        <w:ind w:start="360"/>
        <w:ind w:firstLine="360"/>
      </w:pPr>
      <w:r>
        <w:rPr>
          <w:b/>
        </w:rPr>
        <w:t>6</w:t>
        <w:t xml:space="preserve">.  </w:t>
      </w:r>
      <w:r>
        <w:rPr>
          <w:b/>
        </w:rPr>
        <w:t xml:space="preserve">Rules and regulations.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§295 (AMD). PL 1979, c. 21 (RPR). PL 1989, c. 647,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