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Annual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Annual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§72. ANNUAL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