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 Acquisition, ownership and disposition of property and size and storage of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Acquisition, ownership and disposition of property and size and storage of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 ACQUISITION, OWNERSHIP AND DISPOSITION OF PROPERTY AND SIZE AND STORAGE OF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