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90-A</w:t>
        <w:t xml:space="preserve">.  </w:t>
      </w:r>
      <w:r>
        <w:rPr>
          <w:b/>
        </w:rPr>
        <w:t xml:space="preserve">Reproductions of museum collections</w:t>
      </w:r>
    </w:p>
    <w:p>
      <w:pPr>
        <w:jc w:val="both"/>
        <w:spacing w:before="100" w:after="0"/>
        <w:ind w:start="360"/>
        <w:ind w:firstLine="360"/>
      </w:pPr>
      <w:r>
        <w:rPr>
          <w:b/>
        </w:rPr>
        <w:t>1</w:t>
        <w:t xml:space="preserve">.  </w:t>
      </w:r>
      <w:r>
        <w:rPr>
          <w:b/>
        </w:rPr>
        <w:t xml:space="preserve">Authorization.</w:t>
        <w:t xml:space="preserve"> </w:t>
      </w:r>
      <w:r>
        <w:t xml:space="preserve"> </w:t>
      </w:r>
      <w:r>
        <w:t xml:space="preserve">The Maine State Museum may enter into licensing or similar arrangements for reproductions of selected items from the museum collections.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w:pPr>
        <w:jc w:val="both"/>
        <w:spacing w:before="100" w:after="0"/>
        <w:ind w:start="360"/>
        <w:ind w:firstLine="360"/>
      </w:pPr>
      <w:r>
        <w:rPr>
          <w:b/>
        </w:rPr>
        <w:t>2</w:t>
        <w:t xml:space="preserve">.  </w:t>
      </w:r>
      <w:r>
        <w:rPr>
          <w:b/>
        </w:rPr>
        <w:t xml:space="preserve">Fees; royalties.</w:t>
        <w:t xml:space="preserve"> </w:t>
      </w:r>
      <w:r>
        <w:t xml:space="preserve"> </w:t>
      </w:r>
      <w:r>
        <w:t xml:space="preserve">Income received from those arrangements, including the sale of reproductions directly or indirectly through vendor arrangements, shall be credited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465,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§90-A. Reproductions of museum collections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§90-A. Reproductions of museum collections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§90-A. REPRODUCTIONS OF MUSEUM COLLECTIONS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