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center"/>
        <w:ind w:start="360"/>
        <w:spacing w:before="300" w:after="300"/>
      </w:pPr>
      <w:r>
        <w:rPr>
          <w:b/>
        </w:rPr>
        <w:t>SUBCHAPTER</w:t>
        <w:t xml:space="preserve"> </w:t>
        <w:t>2</w:t>
      </w:r>
    </w:p>
    <w:p>
      <w:pPr>
        <w:jc w:val="center"/>
        <w:ind w:start="360"/>
        <w:spacing w:before="300" w:after="300"/>
      </w:pPr>
      <w:r>
        <w:rPr>
          <w:b/>
        </w:rPr>
        <w:t xml:space="preserve">THE STATE LIQUOR COMMISSION</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jc w:val="center"/>
        <w:ind w:start="360"/>
        <w:spacing w:before="300" w:after="300"/>
      </w:pPr>
      <w:r>
        <w:rPr>
          <w:b/>
        </w:rPr>
        <w:t>SUBCHAPTER</w:t>
        <w:t xml:space="preserve"> </w:t>
        <w:t>3</w:t>
      </w:r>
    </w:p>
    <w:p>
      <w:pPr>
        <w:jc w:val="center"/>
        <w:ind w:start="360"/>
        <w:spacing w:before="300" w:after="300"/>
      </w:pPr>
      <w:r>
        <w:rPr>
          <w:b/>
        </w:rPr>
        <w:t xml:space="preserve">BUREAU OF ALCOHOLIC BEVERAGES</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