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Class III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III licensee may sell wine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III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§9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§136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§5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§4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§36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§138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§4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§17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§14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§139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§140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§15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§2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§141 (NEW).]</w:t>
      </w:r>
    </w:p>
    <w:p>
      <w:pPr>
        <w:jc w:val="both"/>
        <w:spacing w:before="100" w:after="0"/>
        <w:ind w:start="720"/>
      </w:pPr>
      <w:r>
        <w:rPr/>
        <w:t>N</w:t>
        <w:t xml:space="preserve">.  </w:t>
      </w:r>
      <w:r>
        <w:rPr/>
      </w:r>
      <w:r>
        <w:t xml:space="preserve">Restaurants;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§§61,62 (AMD). PL 1989, c. 158, §5 (AMD). PL 1989, c. 244, §4 (AMD). PL 1989, c. 526, §§13,14,28 (AMD). PL 1993, c. 410, §ZZ9 (AMD). PL 1993, c. 730, §36 (AMD). PL 1995, c. 558, §3 (AMD). PL 1997, c. 85, §B14 (AMD). PL 1997, c. 85, §B38 (AFF). PL 1999, c. 760, §2 (AMD). PL 2017, c. 17, §4 (AMD). PL 2017, c. 167, §17 (AMD). PL 2021, c. 658, §§136-142 (AMD). PL 2023, c. 44,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§1004. Class III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Class III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§1004. CLASS III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