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Class VII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VII licensee may sell wine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VII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§14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 license:</w:t>
      </w:r>
    </w:p>
    <w:p>
      <w:pPr>
        <w:jc w:val="both"/>
        <w:spacing w:before="100" w:after="0"/>
        <w:ind w:start="720"/>
      </w:pPr>
      <w:r>
        <w:rPr/>
        <w:t>A</w:t>
        <w:t xml:space="preserve">.  </w:t>
      </w:r>
      <w:r>
        <w:rPr/>
      </w:r>
      <w:r>
        <w:t xml:space="preserve">Off-premises retailers with a qualifying stock of groceries, compatible merchandise or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§§71,72 (AMD). PL 1989, c. 526, §§22,28 (AMD). PL 1991, c. 528, §L6 (AMD). PL 1991, c. 528, §RRR (AFF). PL 1991, c. 591, §L6 (AMD). PL 1993, c. 410, §ZZ14 (AMD). PL 2021, c. 658, §151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§1009. Class VII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Class VII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§1009. CLASS VII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