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Establishment located at fairgrounds</w:t>
      </w:r>
    </w:p>
    <w:p>
      <w:pPr>
        <w:jc w:val="both"/>
        <w:spacing w:before="100" w:after="100"/>
        <w:ind w:start="360"/>
        <w:ind w:firstLine="360"/>
      </w:pPr>
      <w:r>
        <w:rPr/>
      </w:r>
      <w:r>
        <w:rPr/>
      </w:r>
      <w:r>
        <w:t xml:space="preserve">Establishments located on fairgrounds operated by agricultural societies or where pari-mutuel racing is conducted, which otherwise meet the definition of a hotel or a restaurant, shall be considered to be a hotel or restaurant for purposes of this Title, even if an admission charge must be paid to gain entrance to the fairgrounds or racing grounds.</w:t>
      </w:r>
      <w:r>
        <w:t xml:space="preserve">  </w:t>
      </w:r>
      <w:r xmlns:wp="http://schemas.openxmlformats.org/drawingml/2010/wordprocessingDrawing" xmlns:w15="http://schemas.microsoft.com/office/word/2012/wordml">
        <w:rPr>
          <w:rFonts w:ascii="Arial" w:hAnsi="Arial" w:cs="Arial"/>
          <w:sz w:val="22"/>
          <w:szCs w:val="22"/>
        </w:rPr>
        <w:t xml:space="preserve">[RR 2009, c. 2,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RR 2009, c. 2,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§1064. Establishment located at fairgrounds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Establishment located at fairgrounds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§1064. ESTABLISHMENT LOCATED AT FAIRGROUNDS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