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§1074. Outdoor stadiums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Outdoor stadiums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§1074. OUTDOOR STADIUMS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