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§1361. Certificate of approval; malt liquor or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Certificate of approval; malt liquor or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§1361. CERTIFICATE OF APPROVAL; MALT LIQUOR OR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