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§1458. Judicial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Judicial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§1458. JUDICIAL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