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§2073. In-state transportation of liquor for illegal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In-state transportation of liquor for illegal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 IN-STATE TRANSPORTATION OF LIQUOR FOR ILLEGAL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