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Exclusive remedy</w:t>
      </w:r>
    </w:p>
    <w:p>
      <w:pPr>
        <w:jc w:val="both"/>
        <w:spacing w:before="100" w:after="100"/>
        <w:ind w:start="360"/>
        <w:ind w:firstLine="360"/>
      </w:pPr>
      <w:r>
        <w:rPr/>
      </w:r>
      <w:r>
        <w:rPr/>
      </w:r>
      <w:r>
        <w:t xml:space="preserve">This Act is the exclusive remedy against servers who may be made defendants under </w:t>
      </w:r>
      <w:r>
        <w:t>section 2505</w:t>
      </w:r>
      <w:r>
        <w:t xml:space="preserve">, for claims by those suffering damages based on the servers' service of liquor.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§2511. Exclusive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Exclusive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§2511. EXCLUSIVE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