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352-A</w:t>
        <w:t xml:space="preserve">.  </w:t>
      </w:r>
      <w:r>
        <w:rPr>
          <w:b/>
        </w:rPr>
        <w:t xml:space="preserve">Purchase of spirits from agency liquor stores; purchase from reselling agents</w:t>
      </w:r>
    </w:p>
    <w:p>
      <w:pPr>
        <w:jc w:val="both"/>
        <w:spacing w:before="100" w:after="100"/>
        <w:ind w:start="360"/>
        <w:ind w:firstLine="360"/>
      </w:pPr>
      <w:r>
        <w:rPr/>
      </w:r>
      <w:r>
        <w:rPr/>
      </w:r>
      <w:r>
        <w:t xml:space="preserve">Purchases of spirits by a nonlicensee from an agency liquor store must be made by cash, check, credit card or debit card.  Purchases from a reselling agent by a licensee authorized to sell spirits for on-premises consumption must be made by cash, check or electronic funds transfer.</w:t>
      </w:r>
      <w:r>
        <w:t xml:space="preserve">  </w:t>
      </w:r>
      <w:r xmlns:wp="http://schemas.openxmlformats.org/drawingml/2010/wordprocessingDrawing" xmlns:w15="http://schemas.microsoft.com/office/word/2012/wordml">
        <w:rPr>
          <w:rFonts w:ascii="Arial" w:hAnsi="Arial" w:cs="Arial"/>
          <w:sz w:val="22"/>
          <w:szCs w:val="22"/>
        </w:rPr>
        <w:t xml:space="preserve">[PL 2013, c. 476,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§352-A. Purchase of spirits from agency liquor stores; purchase from reselling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§352-A. Purchase of spirits from agency liquor stores; purchase from reselling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§352-A. PURCHASE OF SPIRITS FROM AGENCY LIQUOR STORES; PURCHASE FROM RESELLING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