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State Purchasing Agent.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§56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§83-C. Administration of the spirits business by the bureau;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§83-C. Administration of the spirits business by the bureau;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§83-C. ADMINISTRATION OF THE SPIRITS BUSINESS BY THE BUREAU;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