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department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department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396, §1 (AMD).]</w:t>
      </w:r>
    </w:p>
    <w:p>
      <w:pPr>
        <w:jc w:val="both"/>
        <w:spacing w:before="100" w:after="100"/>
        <w:ind w:start="360"/>
        <w:ind w:firstLine="360"/>
      </w:pPr>
      <w:r>
        <w:rPr/>
      </w:r>
      <w:r>
        <w:rPr/>
      </w:r>
      <w:r>
        <w:t xml:space="preserve">The department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396, §2 (AMD).]</w:t>
      </w:r>
    </w:p>
    <w:p>
      <w:pPr>
        <w:jc w:val="both"/>
        <w:spacing w:before="100" w:after="0"/>
        <w:ind w:start="360"/>
        <w:ind w:firstLine="360"/>
      </w:pPr>
      <w:r>
        <w:rPr>
          <w:b/>
        </w:rPr>
        <w:t>1</w:t>
        <w:t xml:space="preserve">.  </w:t>
      </w:r>
      <w:r>
        <w:rPr>
          <w:b/>
        </w:rPr>
        <w:t xml:space="preserve">Data submission requirements.</w:t>
        <w:t xml:space="preserve"> </w:t>
      </w:r>
      <w:r>
        <w:t xml:space="preserve"> </w:t>
      </w:r>
      <w:r>
        <w:t xml:space="preserve">The tracking system must allow licensees to submit tracking data for adult use cannabis or adult use cannabis products to the department through manual data entry or through the use of tracking system software commonly used within the cannabis industry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department by rule to each group of cannabis plants tracked under this section.  The department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(NEW); PL 2021, c. 669, §5 (REV).]</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(NEW); PL 2021, c. 669, §5 (REV).]</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department's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Tracking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Tracking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§105. TRACKING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