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Individual identification cards</w:t>
      </w:r>
    </w:p>
    <w:p>
      <w:pPr>
        <w:jc w:val="both"/>
        <w:spacing w:before="100" w:after="100"/>
        <w:ind w:start="360"/>
        <w:ind w:firstLine="360"/>
      </w:pPr>
      <w:r>
        <w:rPr/>
      </w:r>
      <w:r>
        <w:rPr/>
      </w:r>
      <w:r>
        <w:t xml:space="preserve">The department shall issue individual identification cards to natural persons licensed under this chapter and, upon the request of a licensee, shall issue individual identification cards to owners, officers, managers, contractors, employees or other support staff of the licensee who meet the requirements of this section for the issuance of an individual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regarding the issuance and format of and the information to be included on individual identification cards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Criminal history record check.</w:t>
        <w:t xml:space="preserve"> </w:t>
      </w:r>
      <w:r>
        <w:t xml:space="preserve"> </w:t>
      </w:r>
      <w:r>
        <w:t xml:space="preserve">Prior to issuing an individual identification card to a natural person pursuant to this section, the department shall require the person to submit to a criminal history record check in accordance with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Individual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Individual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§106. INDIVIDUAL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