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w:t>
        <w:t xml:space="preserve">.  </w:t>
      </w:r>
      <w:r>
        <w:rPr>
          <w:b/>
        </w:rPr>
        <w:t xml:space="preserve">Enhanced training for criminal justice agencies and municipalities</w:t>
      </w:r>
    </w:p>
    <w:p>
      <w:pPr>
        <w:jc w:val="both"/>
        <w:spacing w:before="100" w:after="100"/>
        <w:ind w:start="360"/>
        <w:ind w:firstLine="360"/>
      </w:pPr>
      <w:r>
        <w:rPr/>
      </w:r>
      <w:r>
        <w:rPr/>
      </w:r>
      <w:r>
        <w:t xml:space="preserve">The department shall develop and implement or facilitate the development and implementation by a public or private entity of programs or initiatives providing enhanced training for criminal justice agencies and municipal officers and employees in the requirements and enforcement of this chapter and the rules adopted pursuant to this chapter, including, but not limited to, programs providing grants to regional or local criminal justice agencies or municipalities to train law enforcement officers and, if applicable, municipal officers and employees in inspections, investigations, searches, seizures, forfeitures and personal use and home cultivation allowances under this chapter and </w:t>
      </w:r>
      <w:r>
        <w:t>chapter 3</w:t>
      </w:r>
      <w:r>
        <w:t xml:space="preserve"> and the rules adopted pursuant to this chapter; in drug recognition procedures and the general enforcement of the State's motor vehicle laws relating to the use of cannabis; and in restorative justice, jail diversion, cannabis industry-specific technical assistance and mentoring for economically disadvantaged persons in communities disproportionately affected by high rates of arrest and incarceration for cannabis-related offenses.  Training programs or initiatives developed and implemented pursuant to this section may be funded with revenue from the Adult Use Cannabis Public Health and Safety and Municipal Opt-in Fund established in </w:t>
      </w:r>
      <w:r>
        <w:t>section 1101</w:t>
      </w:r>
      <w:r>
        <w:t xml:space="preserve">.  The department may adopt rules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2021, c. 645, §2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226, §4 (AMD). PL 2021, c. 645, §2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§109. Enhanced training for criminal justice agencies and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 Enhanced training for criminal justice agencies and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§109. ENHANCED TRAINING FOR CRIMINAL JUSTICE AGENCIES AND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