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Violations; penalties</w:t>
      </w:r>
    </w:p>
    <w:p>
      <w:pPr>
        <w:jc w:val="both"/>
        <w:spacing w:before="100" w:after="100"/>
        <w:ind w:start="360"/>
        <w:ind w:firstLine="360"/>
      </w:pPr>
      <w:r>
        <w:rPr/>
      </w:r>
      <w:r>
        <w:rPr/>
      </w:r>
      <w:r>
        <w:t xml:space="preserve">Except as provided in </w:t>
      </w:r>
      <w:r>
        <w:t>section 1501, subsection 2</w:t>
      </w:r>
      <w:r>
        <w:t xml:space="preserve">, a person who violates any provision of this chapter is subject to forfeiture or seizure of any unauthorized cannabis, cannabis products or cannabis plants pursuant to </w:t>
      </w:r>
      <w:r>
        <w:t>Title 15, chapter 517</w:t>
      </w:r>
      <w:r>
        <w:t xml:space="preserve"> and is subject to any additional criminal or civil penalties that may be imposed pursuant to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§1504.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§1504.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