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w:t>
        <w:t xml:space="preserve">.  </w:t>
      </w:r>
      <w:r>
        <w:rPr>
          <w:b/>
        </w:rPr>
        <w:t xml:space="preserve">Inactive licenses</w:t>
      </w:r>
    </w:p>
    <w:p>
      <w:pPr>
        <w:jc w:val="both"/>
        <w:spacing w:before="100" w:after="100"/>
        <w:ind w:start="360"/>
        <w:ind w:firstLine="360"/>
      </w:pPr>
      <w:r>
        <w:rPr/>
      </w:r>
      <w:r>
        <w:rPr/>
      </w:r>
      <w:r>
        <w:t xml:space="preserve">The department may revoke or refuse to renew any license if it determines that the licensed premises have been inactive without reasonable justification for a period of one year or more.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§214. Inactive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 Inactive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§214. INACTIVE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