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Notification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§406. NOTIFICATION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