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Limited access areas</w:t>
      </w:r>
    </w:p>
    <w:p>
      <w:pPr>
        <w:jc w:val="both"/>
        <w:spacing w:before="100" w:after="100"/>
        <w:ind w:start="360"/>
        <w:ind w:firstLine="360"/>
      </w:pPr>
      <w:r>
        <w:rPr/>
      </w:r>
      <w:r>
        <w:rPr/>
      </w:r>
      <w:r>
        <w:t xml:space="preserve">Except as provided in </w:t>
      </w:r>
      <w:r>
        <w:t>subsection 1</w:t>
      </w:r>
      <w:r>
        <w:t xml:space="preserve">, a person may not enter or remain in any limited access area unless the person displays an individual identification card issued by the department pursuant to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491, §4 (AMD).]</w:t>
      </w:r>
    </w:p>
    <w:p>
      <w:pPr>
        <w:jc w:val="both"/>
        <w:spacing w:before="100" w:after="0"/>
        <w:ind w:start="360"/>
        <w:ind w:firstLine="360"/>
      </w:pPr>
      <w:r>
        <w:rPr>
          <w:b/>
        </w:rPr>
        <w:t>1</w:t>
        <w:t xml:space="preserve">.  </w:t>
      </w:r>
      <w:r>
        <w:rPr>
          <w:b/>
        </w:rPr>
        <w:t xml:space="preserve">Contractors.</w:t>
        <w:t xml:space="preserve"> </w:t>
      </w:r>
      <w:r>
        <w:t xml:space="preserve"> </w:t>
      </w:r>
      <w:r>
        <w:t xml:space="preserve">A licensee may allow a person to enter or remain in any limited access area without displaying an individual identification card if the person is a contractor of the licensee, including, but not limited to, an electrician, a plumber, an engineer or an alarm technician, whose scope of work will not involve the handling of cannabis or cannabis products; the person signs a visitor entry log provided and maintained by the licensee and is issued a visitor identification badge by the licensee; and, if the person is working in a limited access area with immediate access to cannabis or cannabis products, the person is supervised at all times by the licensee or an employee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§4 (NEW); PL 2021, c. 669, §5 (REV).]</w:t>
      </w:r>
    </w:p>
    <w:p>
      <w:pPr>
        <w:jc w:val="both"/>
        <w:spacing w:before="100" w:after="0"/>
        <w:ind w:start="360"/>
        <w:ind w:firstLine="360"/>
      </w:pPr>
      <w:r>
        <w:rPr>
          <w:b/>
        </w:rPr>
        <w:t>2</w:t>
        <w:t xml:space="preserve">.  </w:t>
      </w:r>
      <w:r>
        <w:rPr>
          <w:b/>
        </w:rPr>
        <w:t xml:space="preserve">Licensee compliance.</w:t>
        <w:t xml:space="preserve"> </w:t>
      </w:r>
      <w:r>
        <w:t xml:space="preserve"> </w:t>
      </w:r>
      <w:r>
        <w:t xml:space="preserve">A licensee shall ensure that all areas of ingress to and egress from limited access areas within its licensed premises are conspicuously marked and that a person is not allowed to enter or remain in any limited access area without displaying the person's individual identification card issued by the department pursuant to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§4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 Limited access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Limited access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§510. LIMITED ACCESS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