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department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§2 (AMD); PL 2021, c. 669, §5 (REV).]</w:t>
      </w:r>
    </w:p>
    <w:p>
      <w:pPr>
        <w:jc w:val="both"/>
        <w:spacing w:before="100" w:after="0"/>
        <w:ind w:start="720"/>
      </w:pPr>
      <w:r>
        <w:rPr/>
        <w:t>G</w:t>
        <w:t xml:space="preserve">.  </w:t>
      </w:r>
      <w:r>
        <w:rPr/>
      </w:r>
      <w:r>
        <w:t xml:space="preserve">Information on the amount of THC and cannabidiol per serving of the cannabis or cannabis product. For edible cannabis products, the information required pursuant to this paragraph must be consistent with </w:t>
      </w:r>
      <w:r>
        <w:t>section 703, subsection 1, paragraphs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2021, c. 558, §3 (AMD); PL 2021, c. 669, §5 (REV).]</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usage;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and the amount of cannabis concentrate per package of the product, as measured in 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558, §§2, 3 (AMD); PL 2021, c. 669, §5 (REV).]</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Adult use cannabis and adult use cannabis products must be prepackaged in opaque packaging or an opaque container or must be placed in opaque packaging or an opaque container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Packaging for multiserving liquid adult use cannabis products must include an integral measurement component and a child-resistant cap;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Packaging must conform to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Any other information that has been preapproved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Labeling and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Labeling and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§701. LABELING AND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