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Rules</w:t>
      </w:r>
    </w:p>
    <w:p>
      <w:pPr>
        <w:jc w:val="both"/>
        <w:spacing w:before="100" w:after="100"/>
        <w:ind w:start="360"/>
        <w:ind w:firstLine="360"/>
      </w:pPr>
      <w:r>
        <w:rPr/>
      </w:r>
      <w:r>
        <w:rPr/>
      </w:r>
      <w:r>
        <w:t xml:space="preserve">The department shall adopt rules governing the imposition of administrative holds, monetary penalties, suspensions and revocations under this subchapter, which must include, but are not limited to, provisions relating to notice and conduct of hearings consistent with the Maine Administrative Procedure Act and provisions relating to the disposition of unauthorized cannabis and cannabis products of a licensee.</w:t>
      </w:r>
      <w:r>
        <w:t xml:space="preserve">  </w:t>
      </w:r>
      <w:r xmlns:wp="http://schemas.openxmlformats.org/drawingml/2010/wordprocessingDrawing" xmlns:w15="http://schemas.microsoft.com/office/word/2012/wordml">
        <w:rPr>
          <w:rFonts w:ascii="Arial" w:hAnsi="Arial" w:cs="Arial"/>
          <w:sz w:val="22"/>
          <w:szCs w:val="22"/>
        </w:rPr>
        <w:t xml:space="preserve">[PL 2019, c. 491, §7 (AMD); PL 2021, c. 669, §5 (REV);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§7 (AMD). PL 2021, c. 669, §5 (REV).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