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Establishment</w:t>
      </w:r>
    </w:p>
    <w:p>
      <w:pPr>
        <w:jc w:val="both"/>
        <w:spacing w:before="100" w:after="100"/>
        <w:ind w:start="360"/>
        <w:ind w:firstLine="360"/>
      </w:pPr>
      <w:r>
        <w:rPr/>
      </w:r>
      <w:r>
        <w:rPr/>
      </w:r>
      <w:r>
        <w:t xml:space="preserve">The Cannabis Advisory Commission, established by </w:t>
      </w:r>
      <w:r>
        <w:t>Title 5, section 12004‑I, subsection 52‑C</w:t>
      </w:r>
      <w:r>
        <w:t xml:space="preserve"> and referred to in this subchapter as "the commission," is created for the purpose of conducting a continuing study of the laws relating to cannabis and reporting to the Legislature its findings and recommendations on an annual basis.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§901.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