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§2 (AMD); PL 2017, c. 27, §10 (AFF).]</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$100 and expires one year from date of issuance.  The renewal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applicant has filed with the Secretary of State a certificate showing that the applicant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any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§21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§6 (AMD); PL 2017, c. 27, §10 (AFF).]</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11.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