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FINANCIAL RESPONSIBILITY AND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GENERAL FINANCIAL RESPONSIBILITY</w:t>
      </w:r>
    </w:p>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jc w:val="both"/>
        <w:spacing w:before="100" w:after="100"/>
        <w:ind w:start="1080" w:hanging="720"/>
      </w:pPr>
      <w:r>
        <w:rPr>
          <w:b/>
        </w:rPr>
        <w:t>§</w:t>
        <w:t>1603</w:t>
        <w:t xml:space="preserve">.  </w:t>
      </w:r>
      <w:r>
        <w:rPr>
          <w:b/>
        </w:rPr>
        <w:t xml:space="preserve">Suspension</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jc w:val="center"/>
        <w:ind w:start="360"/>
        <w:spacing w:before="300" w:after="300"/>
      </w:pPr>
      <w:r>
        <w:rPr>
          <w:b/>
        </w:rPr>
        <w:t>SUBCHAPTER</w:t>
        <w:t xml:space="preserve"> </w:t>
        <w:t>3</w:t>
      </w:r>
    </w:p>
    <w:p>
      <w:pPr>
        <w:jc w:val="center"/>
        <w:ind w:start="360"/>
        <w:spacing w:before="300" w:after="300"/>
      </w:pPr>
      <w:r>
        <w:rPr>
          <w:b/>
        </w:rPr>
        <w:t xml:space="preserve">VICARIOUS LIABILITY</w:t>
      </w:r>
    </w:p>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jc w:val="center"/>
        <w:ind w:start="360"/>
        <w:spacing w:before="300" w:after="300"/>
      </w:pPr>
      <w:r>
        <w:rPr>
          <w:b/>
        </w:rPr>
        <w:t>SUBCHAPTER</w:t>
        <w:t xml:space="preserve"> </w:t>
        <w:t>4</w:t>
      </w:r>
    </w:p>
    <w:p>
      <w:pPr>
        <w:jc w:val="center"/>
        <w:ind w:start="360"/>
        <w:spacing w:before="300" w:after="300"/>
      </w:pPr>
      <w:r>
        <w:rPr>
          <w:b/>
        </w:rPr>
        <w:t xml:space="preserve">TRANSPORTATION NETWORK COMPANIES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FINANCIAL RESPONSIBILITY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FINANCIAL RESPONSIBILITY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13. FINANCIAL RESPONSIBILITY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