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0"/>
        <w:ind w:start="360"/>
        <w:ind w:firstLine="360"/>
      </w:pPr>
      <w:r>
        <w:rPr>
          <w:b/>
        </w:rPr>
        <w:t>1-A</w:t>
        <w:t xml:space="preserve">.  </w:t>
      </w:r>
      <w:r>
        <w:rPr>
          <w:b/>
        </w:rPr>
        <w:t xml:space="preserve">Limitation on use.</w:t>
        <w:t xml:space="preserve"> </w:t>
      </w:r>
      <w:r>
        <w:t xml:space="preserve"> </w:t>
      </w:r>
      <w:r>
        <w:t xml:space="preserve">A person using a dealer plate may not permit a vehicle owned or controlled by a manufacturer or dealer to be operated except for the purposes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§12 (NEW); PL 2003, c. 452, Pt. X, §2 (AFF).]</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§1002. VEHICLE AND EQUIPMENT DEALER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