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§1106-A. Municipal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Municipal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§1106-A. MUNICIPAL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