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or failure to appear in court pursuant to a lawful summons.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§34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§1108. Denial, suspension or revocation of a recycler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Denial, suspension or revocation of a recycler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§1108. DENIAL, SUSPENSION OR REVOCATION OF A RECYCLER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