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§1458. Entry into force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Entry into force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§1458. ENTRY INTO FORCE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