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Motor Vehicle Services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Motor Vehicle Services Fund, referred to in this section as "the fund," is established as a nonlapsing fund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bureau for motor vehicle-related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revenue transferred into the fund pursuant to the sale of catalytic converters forfeited to the State under </w:t>
      </w:r>
      <w:r>
        <w:t>section 1113, subsection 15</w:t>
      </w:r>
      <w:r>
        <w:t xml:space="preserve">. The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§159. Motor Vehicle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Motor Vehicle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§159. MOTOR VEHICLE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