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1653</w:t>
        <w:t xml:space="preserve">.  </w:t>
      </w:r>
      <w:r>
        <w:rPr>
          <w:b/>
        </w:rPr>
        <w:t xml:space="preserve">Allowing impaired operator</w:t>
      </w:r>
    </w:p>
    <w:p>
      <w:pPr>
        <w:jc w:val="both"/>
        <w:spacing w:before="100" w:after="0"/>
        <w:ind w:start="360"/>
        <w:ind w:firstLine="360"/>
      </w:pPr>
      <w:r>
        <w:rPr>
          <w:b/>
        </w:rPr>
        <w:t>1</w:t>
        <w:t xml:space="preserve">.  </w:t>
      </w:r>
      <w:r>
        <w:rPr>
          <w:b/>
        </w:rPr>
        <w:t xml:space="preserve">Liability.</w:t>
        <w:t xml:space="preserve"> </w:t>
      </w:r>
      <w:r>
        <w:t xml:space="preserve"> </w:t>
      </w:r>
      <w:r>
        <w:t xml:space="preserve">An owner or person having control of a motor vehicle who, having knowledge or reason to know that a person is under the influence of intoxicating liquor or drugs or has an alcohol level of 0.08 grams or more of alcohol per 100 milliliters of blood or 210 liters of breath, permits that person to operate that motor vehicle is jointly and severally liable with that person for damages caused by the negligence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§31 (AMD).]</w:t>
      </w:r>
    </w:p>
    <w:p>
      <w:pPr>
        <w:jc w:val="both"/>
        <w:spacing w:before="100" w:after="0"/>
        <w:ind w:start="360"/>
        <w:ind w:firstLine="360"/>
      </w:pPr>
      <w:r>
        <w:rPr>
          <w:b/>
        </w:rPr>
        <w:t>2</w:t>
        <w:t xml:space="preserve">.  </w:t>
      </w:r>
      <w:r>
        <w:rPr>
          <w:b/>
        </w:rPr>
        <w:t xml:space="preserve">Not exclusive.</w:t>
        <w:t xml:space="preserve"> </w:t>
      </w:r>
      <w:r>
        <w:t xml:space="preserve"> </w:t>
      </w:r>
      <w:r>
        <w:t xml:space="preserve">This section does not limit and does not diminish any cause of action or right of recovery that is or may become available under the common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447,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§1653. Allowing impaired operator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§1653. Allowing impaired operator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§1653. ALLOWING IMPAIRED OPERATOR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