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Disposition of fees</w:t>
      </w:r>
    </w:p>
    <w:p>
      <w:pPr>
        <w:jc w:val="both"/>
        <w:spacing w:before="100" w:after="100"/>
        <w:ind w:start="360"/>
        <w:ind w:firstLine="360"/>
      </w:pPr>
      <w:r>
        <w:rPr/>
      </w:r>
      <w:r>
        <w:rPr/>
      </w:r>
      <w:r>
        <w:t xml:space="preserve">The revenues generated by this chapter must be credited to the General Highway Fund.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§1767.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§1767.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