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Abandonment defined</w:t>
      </w:r>
    </w:p>
    <w:p>
      <w:pPr>
        <w:jc w:val="both"/>
        <w:spacing w:before="100" w:after="100"/>
        <w:ind w:start="360"/>
        <w:ind w:firstLine="360"/>
      </w:pPr>
      <w:r>
        <w:rPr/>
      </w:r>
      <w:r>
        <w:rPr/>
      </w:r>
      <w:r>
        <w:t xml:space="preserve">For the purposes of this subchapter, a vehicle is considered "abandoned" if the owner or lienholder does not retrieve it and pay all reasonable charges for towing, storing and authorized repair of the vehicle within 14 days after the notices to the owner and lienholder are sent by the Secretary of State or 14 days after the advertisement is published as required in </w:t>
      </w:r>
      <w:r>
        <w:t>section 1854, subsection 4</w:t>
      </w:r>
      <w:r>
        <w:t xml:space="preserve">.  There is a rebuttable presumption that the last owner of record of a motor vehicle found abandoned as shown in the files of the office of the Secretary of State is the owner of the motor vehicle at the time it was abandoned and the person who abandoned it.</w:t>
      </w:r>
      <w:r>
        <w:t xml:space="preserve">  </w:t>
      </w:r>
      <w:r xmlns:wp="http://schemas.openxmlformats.org/drawingml/2010/wordprocessingDrawing" xmlns:w15="http://schemas.microsoft.com/office/word/2012/wordml">
        <w:rPr>
          <w:rFonts w:ascii="Arial" w:hAnsi="Arial" w:cs="Arial"/>
          <w:sz w:val="22"/>
          <w:szCs w:val="22"/>
        </w:rPr>
        <w:t xml:space="preserve">[PL 2011, c. 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2007, c. 150, §2 (AMD). PL 2011, c. 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§1852. Abandonment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Abandonment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§1852. ABANDONMENT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