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§1863. Commercial motor vehicle nonconsensual tow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Commercial motor vehicle nonconsensual tow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§1863. COMMERCIAL MOTOR VEHICLE NONCONSENSUAL TOW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